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262F77">
        <w:rPr>
          <w:rFonts w:ascii="Arial" w:eastAsia="Calibri" w:hAnsi="Arial" w:cs="Arial"/>
          <w:b/>
          <w:bCs/>
          <w:smallCaps/>
          <w:spacing w:val="5"/>
          <w:lang w:eastAsia="pl-PL"/>
        </w:rPr>
        <w:t>3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262F77">
        <w:rPr>
          <w:rFonts w:ascii="Arial" w:eastAsia="Calibri" w:hAnsi="Arial" w:cs="Arial"/>
          <w:b/>
          <w:bCs/>
          <w:lang w:eastAsia="pl-PL" w:bidi="pl-PL"/>
        </w:rPr>
        <w:t>Sukcesywna dostawa kruszyw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262F77">
        <w:rPr>
          <w:rFonts w:ascii="Arial" w:eastAsia="Calibri" w:hAnsi="Arial" w:cs="Arial"/>
          <w:bCs/>
          <w:lang w:eastAsia="pl-PL"/>
        </w:rPr>
        <w:t xml:space="preserve"> 5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262F77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Sukcesywna dostawa kruszyw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4FAF-25B7-484E-A098-332EB167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2020-04-29T09:38:00Z</cp:lastPrinted>
  <dcterms:created xsi:type="dcterms:W3CDTF">2020-04-28T09:27:00Z</dcterms:created>
  <dcterms:modified xsi:type="dcterms:W3CDTF">2020-04-29T09:39:00Z</dcterms:modified>
</cp:coreProperties>
</file>