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BD5A9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z postępowania o udzielenie zamówienia </w:t>
            </w:r>
            <w:r w:rsidR="00BD5A96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sektorowego podprogowego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2C3C5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C83DEC"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2C3C53">
        <w:rPr>
          <w:rFonts w:ascii="Arial" w:hAnsi="Arial" w:cs="Arial"/>
          <w:b/>
          <w:i/>
          <w:sz w:val="23"/>
          <w:szCs w:val="23"/>
          <w:lang w:eastAsia="ar-SA"/>
        </w:rPr>
        <w:t>Budowa kanalizacji sanitarnej w ul. Wyzwolenia w Żarach</w:t>
      </w:r>
      <w:r w:rsidR="002C3C53">
        <w:rPr>
          <w:rFonts w:ascii="Arial" w:hAnsi="Arial" w:cs="Arial"/>
          <w:b/>
          <w:i/>
          <w:sz w:val="23"/>
          <w:szCs w:val="23"/>
          <w:lang w:eastAsia="ar-SA"/>
        </w:rPr>
        <w:t xml:space="preserve">”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19 ust. 1 pkt 1) – 10) Regulaminu udzielania zamówień na dostawy, usługi i roboty budowlane w</w:t>
      </w:r>
      <w:r w:rsidR="002C3C53">
        <w:rPr>
          <w:rFonts w:ascii="Arial" w:eastAsia="Times New Roman" w:hAnsi="Arial" w:cs="Arial"/>
          <w:lang w:eastAsia="ar-SA"/>
        </w:rPr>
        <w:t> </w:t>
      </w:r>
      <w:bookmarkStart w:id="0" w:name="_GoBack"/>
      <w:bookmarkEnd w:id="0"/>
      <w:r w:rsidR="00DA4A5E" w:rsidRPr="000E0694">
        <w:rPr>
          <w:rFonts w:ascii="Arial" w:eastAsia="Times New Roman" w:hAnsi="Arial" w:cs="Arial"/>
          <w:lang w:eastAsia="ar-SA"/>
        </w:rPr>
        <w:t>Zakładzie Wodociągów i 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6B08"/>
    <w:rsid w:val="009D1017"/>
    <w:rsid w:val="009D6FDE"/>
    <w:rsid w:val="00AC18E5"/>
    <w:rsid w:val="00B17150"/>
    <w:rsid w:val="00B81467"/>
    <w:rsid w:val="00B94B6D"/>
    <w:rsid w:val="00BD5A96"/>
    <w:rsid w:val="00C1746E"/>
    <w:rsid w:val="00C23145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0C90-6BEF-434B-BDAC-9DA4667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2018-01-08T11:21:00Z</cp:lastPrinted>
  <dcterms:created xsi:type="dcterms:W3CDTF">2018-03-07T11:13:00Z</dcterms:created>
  <dcterms:modified xsi:type="dcterms:W3CDTF">2018-03-07T11:13:00Z</dcterms:modified>
</cp:coreProperties>
</file>